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30480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13970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1828800"/>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C">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2">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3">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9">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A">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B">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1E">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1F">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1">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2">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3">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The data labeling process has been considerably streamlined</w:t>
      </w:r>
      <w:r w:rsidDel="00000000" w:rsidR="00000000" w:rsidRPr="00000000">
        <w:rPr>
          <w:rtl w:val="0"/>
        </w:rPr>
        <w:t xml:space="preserve"> by products such as </w:t>
      </w:r>
      <w:hyperlink r:id="rId21">
        <w:r w:rsidDel="00000000" w:rsidR="00000000" w:rsidRPr="00000000">
          <w:rPr>
            <w:color w:val="1155cc"/>
            <w:u w:val="single"/>
            <w:rtl w:val="0"/>
          </w:rPr>
          <w:t xml:space="preserve">scale.com</w:t>
        </w:r>
      </w:hyperlink>
      <w:r w:rsidDel="00000000" w:rsidR="00000000" w:rsidRPr="00000000">
        <w:rPr>
          <w:rtl w:val="0"/>
        </w:rPr>
        <w:t xml:space="preserve">, </w:t>
      </w:r>
      <w:hyperlink r:id="rId22">
        <w:r w:rsidDel="00000000" w:rsidR="00000000" w:rsidRPr="00000000">
          <w:rPr>
            <w:color w:val="1155cc"/>
            <w:u w:val="single"/>
            <w:rtl w:val="0"/>
          </w:rPr>
          <w:t xml:space="preserve">Amazon Sagemaker</w:t>
        </w:r>
      </w:hyperlink>
      <w:r w:rsidDel="00000000" w:rsidR="00000000" w:rsidRPr="00000000">
        <w:rPr>
          <w:rtl w:val="0"/>
        </w:rPr>
        <w:t xml:space="preserve">, or </w:t>
      </w:r>
      <w:hyperlink r:id="rId23">
        <w:r w:rsidDel="00000000" w:rsidR="00000000" w:rsidRPr="00000000">
          <w:rPr>
            <w:color w:val="1155cc"/>
            <w:u w:val="single"/>
            <w:rtl w:val="0"/>
          </w:rPr>
          <w:t xml:space="preserve">Dataloop</w:t>
        </w:r>
      </w:hyperlink>
      <w:r w:rsidDel="00000000" w:rsidR="00000000" w:rsidRPr="00000000">
        <w:rPr>
          <w:rtl w:val="0"/>
        </w:rPr>
        <w:t xml:space="preserve">.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The rise of </w:t>
      </w:r>
      <w:hyperlink r:id="rId24">
        <w:r w:rsidDel="00000000" w:rsidR="00000000" w:rsidRPr="00000000">
          <w:rPr>
            <w:b w:val="1"/>
            <w:color w:val="1155cc"/>
            <w:u w:val="single"/>
            <w:rtl w:val="0"/>
          </w:rPr>
          <w:t xml:space="preserve">synthetic data</w:t>
        </w:r>
      </w:hyperlink>
      <w:r w:rsidDel="00000000" w:rsidR="00000000" w:rsidRPr="00000000">
        <w:rPr>
          <w:b w:val="1"/>
          <w:rtl w:val="0"/>
        </w:rPr>
        <w:t xml:space="preserve"> (computer-generated data) is a complete game-changer</w:t>
      </w:r>
      <w:r w:rsidDel="00000000" w:rsidR="00000000" w:rsidRPr="00000000">
        <w:rPr>
          <w:rtl w:val="0"/>
        </w:rPr>
        <w:t xml:space="preserve">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5">
        <w:r w:rsidDel="00000000" w:rsidR="00000000" w:rsidRPr="00000000">
          <w:rPr>
            <w:color w:val="1155cc"/>
            <w:u w:val="single"/>
            <w:rtl w:val="0"/>
          </w:rPr>
          <w:t xml:space="preserve">Datagen</w:t>
        </w:r>
      </w:hyperlink>
      <w:r w:rsidDel="00000000" w:rsidR="00000000" w:rsidRPr="00000000">
        <w:rPr>
          <w:rtl w:val="0"/>
        </w:rPr>
        <w:t xml:space="preserve"> and </w:t>
      </w:r>
      <w:hyperlink r:id="rId26">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A">
      <w:pPr>
        <w:pStyle w:val="Heading1"/>
        <w:rPr/>
      </w:pPr>
      <w:bookmarkStart w:colFirst="0" w:colLast="0" w:name="_pzuo2rgs99ox" w:id="1"/>
      <w:bookmarkEnd w:id="1"/>
      <w:r w:rsidDel="00000000" w:rsidR="00000000" w:rsidRPr="00000000">
        <w:rPr>
          <w:rtl w:val="0"/>
        </w:rPr>
        <w:t xml:space="preserve">Is acquiring data part of an AI scientist’s job?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2989854" cy="3350275"/>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989854" cy="3350275"/>
                    </a:xfrm>
                    <a:prstGeom prst="rect"/>
                    <a:ln/>
                  </pic:spPr>
                </pic:pic>
              </a:graphicData>
            </a:graphic>
          </wp:anchor>
        </w:drawing>
      </w:r>
    </w:p>
    <w:p w:rsidR="00000000" w:rsidDel="00000000" w:rsidP="00000000" w:rsidRDefault="00000000" w:rsidRPr="00000000" w14:paraId="0000002B">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0">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1">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(Rest assured, you will see that your scientific skills are critical to the success of a DCAI project!)</w:t>
      </w:r>
    </w:p>
    <w:p w:rsidR="00000000" w:rsidDel="00000000" w:rsidP="00000000" w:rsidRDefault="00000000" w:rsidRPr="00000000" w14:paraId="00000034">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5">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A">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B">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8">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352800"/>
            <wp:effectExtent b="0" l="0" r="0" t="0"/>
            <wp:docPr id="8"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Source: slide from Andrej Karpathy's (Tesla’s Director of AI) </w:t>
      </w:r>
      <w:hyperlink r:id="rId30">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w9dore97t99q" w:id="4"/>
      <w:bookmarkEnd w:id="4"/>
      <w:r w:rsidDel="00000000" w:rsidR="00000000" w:rsidRPr="00000000">
        <w:rPr>
          <w:rtl w:val="0"/>
        </w:rPr>
        <w:t xml:space="preserve">Step #2: Get your end-to-end data-centric pipeline running</w:t>
      </w:r>
    </w:p>
    <w:p w:rsidR="00000000" w:rsidDel="00000000" w:rsidP="00000000" w:rsidRDefault="00000000" w:rsidRPr="00000000" w14:paraId="00000041">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2">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3">
      <w:pPr>
        <w:numPr>
          <w:ilvl w:val="0"/>
          <w:numId w:val="5"/>
        </w:numPr>
        <w:ind w:left="720" w:hanging="360"/>
        <w:rPr>
          <w:u w:val="none"/>
        </w:rPr>
      </w:pPr>
      <w:r w:rsidDel="00000000" w:rsidR="00000000" w:rsidRPr="00000000">
        <w:rPr>
          <w:b w:val="1"/>
          <w:rtl w:val="0"/>
        </w:rPr>
        <w:t xml:space="preserve">Proper metrics that describe the trade-offs</w:t>
      </w:r>
      <w:r w:rsidDel="00000000" w:rsidR="00000000" w:rsidRPr="00000000">
        <w:rPr>
          <w:rtl w:val="0"/>
        </w:rPr>
        <w:t xml:space="preserve"> you’ll need to make in production (for example, execution time vs accuracy). And yes, there ARE ALWAYS trade-offs.</w:t>
      </w:r>
    </w:p>
    <w:p w:rsidR="00000000" w:rsidDel="00000000" w:rsidP="00000000" w:rsidRDefault="00000000" w:rsidRPr="00000000" w14:paraId="00000044">
      <w:pPr>
        <w:numPr>
          <w:ilvl w:val="0"/>
          <w:numId w:val="5"/>
        </w:numPr>
        <w:ind w:left="720" w:hanging="360"/>
        <w:rPr>
          <w:u w:val="none"/>
        </w:rPr>
      </w:pPr>
      <w:r w:rsidDel="00000000" w:rsidR="00000000" w:rsidRPr="00000000">
        <w:rPr>
          <w:b w:val="1"/>
          <w:rtl w:val="0"/>
        </w:rPr>
        <w:t xml:space="preserve">Debug visualizations </w:t>
      </w:r>
      <w:r w:rsidDel="00000000" w:rsidR="00000000" w:rsidRPr="00000000">
        <w:rPr>
          <w:rtl w:val="0"/>
        </w:rPr>
        <w:t xml:space="preserve">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5">
      <w:pPr>
        <w:numPr>
          <w:ilvl w:val="0"/>
          <w:numId w:val="5"/>
        </w:numPr>
        <w:ind w:left="720" w:hanging="360"/>
        <w:rPr>
          <w:u w:val="none"/>
        </w:rPr>
      </w:pPr>
      <w:r w:rsidDel="00000000" w:rsidR="00000000" w:rsidRPr="00000000">
        <w:rPr>
          <w:b w:val="1"/>
          <w:rtl w:val="0"/>
        </w:rPr>
        <w:t xml:space="preserve">A one-push-button system</w:t>
      </w:r>
      <w:r w:rsidDel="00000000" w:rsidR="00000000" w:rsidRPr="00000000">
        <w:rPr>
          <w:rtl w:val="0"/>
        </w:rPr>
        <w:t xml:space="preserve"> (e.g. python script) to evaluate any given method according to all of the points described above.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31">
        <w:r w:rsidDel="00000000" w:rsidR="00000000" w:rsidRPr="00000000">
          <w:rPr>
            <w:color w:val="1155cc"/>
            <w:u w:val="single"/>
            <w:rtl w:val="0"/>
          </w:rPr>
          <w:t xml:space="preserve">Weights &amp; Biases</w:t>
        </w:r>
      </w:hyperlink>
      <w:r w:rsidDel="00000000" w:rsidR="00000000" w:rsidRPr="00000000">
        <w:rPr>
          <w:rtl w:val="0"/>
        </w:rPr>
        <w:t xml:space="preserve">, </w:t>
      </w:r>
      <w:hyperlink r:id="rId32">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3">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r>
    </w:p>
    <w:p w:rsidR="00000000" w:rsidDel="00000000" w:rsidP="00000000" w:rsidRDefault="00000000" w:rsidRPr="00000000" w14:paraId="00000048">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order to finish your end-to-end data-centric pipeline, you also need a baseline, i.e. </w:t>
      </w:r>
      <w:r w:rsidDel="00000000" w:rsidR="00000000" w:rsidRPr="00000000">
        <w:rPr>
          <w:b w:val="1"/>
          <w:rtl w:val="0"/>
        </w:rPr>
        <w:t xml:space="preserve">the quickest solution you can find to your problem</w:t>
      </w:r>
      <w:r w:rsidDel="00000000" w:rsidR="00000000" w:rsidRPr="00000000">
        <w:rPr>
          <w:rtl w:val="0"/>
        </w:rPr>
        <w:t xml:space="preserve"> that can be evaluated in your environment. I talked about this more in depth in my first post “</w:t>
      </w:r>
      <w:hyperlink r:id="rId34">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4E">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3">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4">
      <w:pPr>
        <w:rPr/>
      </w:pPr>
      <w:r w:rsidDel="00000000" w:rsidR="00000000" w:rsidRPr="00000000">
        <w:rPr/>
        <w:drawing>
          <wp:inline distB="114300" distT="114300" distL="114300" distR="114300">
            <wp:extent cx="5731200" cy="3175000"/>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6">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0">
      <w:pPr>
        <w:ind w:left="0" w:firstLine="0"/>
        <w:rPr/>
      </w:pPr>
      <w:r w:rsidDel="00000000" w:rsidR="00000000" w:rsidRPr="00000000">
        <w:rPr>
          <w:rtl w:val="0"/>
        </w:rPr>
      </w:r>
    </w:p>
    <w:p w:rsidR="00000000" w:rsidDel="00000000" w:rsidP="00000000" w:rsidRDefault="00000000" w:rsidRPr="00000000" w14:paraId="00000061">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2">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7">
        <w:r w:rsidDel="00000000" w:rsidR="00000000" w:rsidRPr="00000000">
          <w:rPr>
            <w:color w:val="1155cc"/>
            <w:u w:val="single"/>
            <w:rtl w:val="0"/>
          </w:rPr>
          <w:t xml:space="preserve">KDE</w:t>
        </w:r>
      </w:hyperlink>
      <w:r w:rsidDel="00000000" w:rsidR="00000000" w:rsidRPr="00000000">
        <w:rPr>
          <w:rtl w:val="0"/>
        </w:rPr>
        <w:t xml:space="preserve">, </w:t>
      </w:r>
      <w:hyperlink r:id="rId38">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9">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40">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7">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While the academic literature is relatively scarce on this topic, here are 2 interesting works I came across recently:</w:t>
      </w:r>
    </w:p>
    <w:p w:rsidR="00000000" w:rsidDel="00000000" w:rsidP="00000000" w:rsidRDefault="00000000" w:rsidRPr="00000000" w14:paraId="0000006A">
      <w:pPr>
        <w:numPr>
          <w:ilvl w:val="0"/>
          <w:numId w:val="9"/>
        </w:numPr>
        <w:ind w:left="720" w:hanging="360"/>
        <w:rPr>
          <w:u w:val="none"/>
        </w:rPr>
      </w:pPr>
      <w:hyperlink r:id="rId41">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42">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731200" cy="2578100"/>
            <wp:effectExtent b="0" l="0" r="0" t="0"/>
            <wp:docPr id="9" name="image12.gif"/>
            <a:graphic>
              <a:graphicData uri="http://schemas.openxmlformats.org/drawingml/2006/picture">
                <pic:pic>
                  <pic:nvPicPr>
                    <pic:cNvPr id="0" name="image12.gif"/>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4">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C">
      <w:pPr>
        <w:numPr>
          <w:ilvl w:val="0"/>
          <w:numId w:val="10"/>
        </w:numPr>
        <w:ind w:left="720" w:hanging="360"/>
        <w:rPr>
          <w:u w:val="none"/>
        </w:rPr>
      </w:pPr>
      <w:hyperlink r:id="rId45">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As part of my work at Datagen, I’ve also developed such a method to detect neural networks failure modes in an unstructured way. More precisely, I built a </w:t>
      </w:r>
      <w:hyperlink r:id="rId46">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most similar image that would make the network succeed. When trained and tested on the facial landmarks detection task (on the </w:t>
      </w:r>
      <w:hyperlink r:id="rId47">
        <w:r w:rsidDel="00000000" w:rsidR="00000000" w:rsidRPr="00000000">
          <w:rPr>
            <w:color w:val="1155cc"/>
            <w:u w:val="single"/>
            <w:rtl w:val="0"/>
          </w:rPr>
          <w:t xml:space="preserve">300W dataset</w:t>
        </w:r>
      </w:hyperlink>
      <w:r w:rsidDel="00000000" w:rsidR="00000000" w:rsidRPr="00000000">
        <w:rPr>
          <w:rtl w:val="0"/>
        </w:rPr>
        <w:t xml:space="preserve">), we observed for example that the VAE was removing glasses from people, and transformed babies into grown-up faces, hinting that the network has more difficulties dealing with babies and people with glasses.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widowControl w:val="0"/>
        <w:spacing w:line="240" w:lineRule="auto"/>
        <w:rPr/>
      </w:pPr>
      <w:r w:rsidDel="00000000" w:rsidR="00000000" w:rsidRPr="00000000">
        <w:rPr/>
        <w:drawing>
          <wp:inline distB="19050" distT="19050" distL="19050" distR="19050">
            <wp:extent cx="1329220" cy="1329220"/>
            <wp:effectExtent b="0" l="0" r="0" t="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329220" cy="1329220"/>
                    </a:xfrm>
                    <a:prstGeom prst="rect"/>
                    <a:ln/>
                  </pic:spPr>
                </pic:pic>
              </a:graphicData>
            </a:graphic>
          </wp:inline>
        </w:drawing>
      </w:r>
      <w:r w:rsidDel="00000000" w:rsidR="00000000" w:rsidRPr="00000000">
        <w:rPr/>
        <w:drawing>
          <wp:inline distB="19050" distT="19050" distL="19050" distR="19050">
            <wp:extent cx="1329220" cy="1329220"/>
            <wp:effectExtent b="0" l="0" r="0" t="0"/>
            <wp:docPr id="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329220" cy="1329220"/>
                    </a:xfrm>
                    <a:prstGeom prst="rect"/>
                    <a:ln/>
                  </pic:spPr>
                </pic:pic>
              </a:graphicData>
            </a:graphic>
          </wp:inline>
        </w:drawing>
      </w:r>
      <w:r w:rsidDel="00000000" w:rsidR="00000000" w:rsidRPr="00000000">
        <w:rPr/>
        <w:drawing>
          <wp:inline distB="114300" distT="114300" distL="114300" distR="114300">
            <wp:extent cx="1319695" cy="1319695"/>
            <wp:effectExtent b="0" l="0" r="0" t="0"/>
            <wp:docPr id="5"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319695" cy="1319695"/>
                    </a:xfrm>
                    <a:prstGeom prst="rect"/>
                    <a:ln/>
                  </pic:spPr>
                </pic:pic>
              </a:graphicData>
            </a:graphic>
          </wp:inline>
        </w:drawing>
      </w:r>
      <w:r w:rsidDel="00000000" w:rsidR="00000000" w:rsidRPr="00000000">
        <w:rPr/>
        <w:drawing>
          <wp:inline distB="114300" distT="114300" distL="114300" distR="114300">
            <wp:extent cx="1329220" cy="1329220"/>
            <wp:effectExtent b="0" l="0" r="0" t="0"/>
            <wp:docPr id="6"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1329220" cy="132922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these images are meant to be interpretable, not beautiful)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52">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However, keep in mind that your training procedure may need to be adapted if you have a new dataset. In particular, if you use synthetic data, both </w:t>
      </w:r>
      <w:hyperlink r:id="rId53">
        <w:r w:rsidDel="00000000" w:rsidR="00000000" w:rsidRPr="00000000">
          <w:rPr>
            <w:color w:val="1155cc"/>
            <w:u w:val="single"/>
            <w:rtl w:val="0"/>
          </w:rPr>
          <w:t xml:space="preserve">our team</w:t>
        </w:r>
      </w:hyperlink>
      <w:r w:rsidDel="00000000" w:rsidR="00000000" w:rsidRPr="00000000">
        <w:rPr>
          <w:rtl w:val="0"/>
        </w:rPr>
        <w:t xml:space="preserve"> and </w:t>
      </w:r>
      <w:hyperlink r:id="rId54">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76">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78">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7A">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7B">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7C">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7D">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5">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7E">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7F">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0">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1">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2">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3">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86">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At the end of the day, if figuring out the optimal data you need to solve a task is such a hard algorithmic task, maybe it would make sense to build a complete closed-loop system (some kind of next-gen </w:t>
      </w:r>
      <w:hyperlink r:id="rId56">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8D">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8E">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Unfortunately, here again, the scientific literature on these questions (especially MLOps) is quite scarce, but an interesting paper called “</w:t>
      </w:r>
      <w:hyperlink r:id="rId57">
        <w:r w:rsidDel="00000000" w:rsidR="00000000" w:rsidRPr="00000000">
          <w:rPr>
            <w:color w:val="1155cc"/>
            <w:u w:val="single"/>
            <w:rtl w:val="0"/>
          </w:rPr>
          <w:t xml:space="preserve">AutoDC</w:t>
        </w:r>
      </w:hyperlink>
      <w:r w:rsidDel="00000000" w:rsidR="00000000" w:rsidRPr="00000000">
        <w:rPr>
          <w:rtl w:val="0"/>
        </w:rPr>
        <w:t xml:space="preserve">” (presented at the last NeurIPS </w:t>
      </w:r>
      <w:hyperlink r:id="rId58">
        <w:r w:rsidDel="00000000" w:rsidR="00000000" w:rsidRPr="00000000">
          <w:rPr>
            <w:color w:val="1155cc"/>
            <w:u w:val="single"/>
            <w:rtl w:val="0"/>
          </w:rPr>
          <w:t xml:space="preserve">data-centric AI workshop</w:t>
        </w:r>
      </w:hyperlink>
      <w:r w:rsidDel="00000000" w:rsidR="00000000" w:rsidRPr="00000000">
        <w:rPr>
          <w:rtl w:val="0"/>
        </w:rPr>
        <w:t xml:space="preserve">) gave some initial directions on how to approach these questions</w:t>
      </w:r>
      <w:r w:rsidDel="00000000" w:rsidR="00000000" w:rsidRPr="00000000">
        <w:rPr>
          <w:rtl w:val="0"/>
        </w:rPr>
        <w:t xml:space="preserve">. I would personally be very interested to see these AutoDC concepts taken to the world of synthetic data, since we would then be able to have fully automated systems that can train neural networks to optimally solve a given task.</w:t>
        <w:br w:type="textWrapping"/>
      </w:r>
    </w:p>
    <w:p w:rsidR="00000000" w:rsidDel="00000000" w:rsidP="00000000" w:rsidRDefault="00000000" w:rsidRPr="00000000" w14:paraId="00000091">
      <w:pPr>
        <w:rPr/>
      </w:pPr>
      <w:r w:rsidDel="00000000" w:rsidR="00000000" w:rsidRPr="00000000">
        <w:rPr/>
        <w:drawing>
          <wp:inline distB="114300" distT="114300" distL="114300" distR="114300">
            <wp:extent cx="5731200" cy="2578100"/>
            <wp:effectExtent b="0" l="0" r="0" t="0"/>
            <wp:docPr id="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2160" w:firstLine="720"/>
        <w:jc w:val="left"/>
        <w:rPr/>
      </w:pPr>
      <w:r w:rsidDel="00000000" w:rsidR="00000000" w:rsidRPr="00000000">
        <w:rPr>
          <w:rtl w:val="0"/>
        </w:rPr>
        <w:t xml:space="preserve">   source: </w:t>
      </w:r>
      <w:hyperlink r:id="rId60">
        <w:r w:rsidDel="00000000" w:rsidR="00000000" w:rsidRPr="00000000">
          <w:rPr>
            <w:color w:val="1155cc"/>
            <w:u w:val="single"/>
            <w:rtl w:val="0"/>
          </w:rPr>
          <w:t xml:space="preserve">AutoDC paper</w:t>
        </w:r>
      </w:hyperlink>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pStyle w:val="Heading1"/>
        <w:rPr/>
      </w:pPr>
      <w:bookmarkStart w:colFirst="0" w:colLast="0" w:name="_s352gpugwptr" w:id="14"/>
      <w:bookmarkEnd w:id="14"/>
      <w:r w:rsidDel="00000000" w:rsidR="00000000" w:rsidRPr="00000000">
        <w:rPr>
          <w:rtl w:val="0"/>
        </w:rPr>
        <w:t xml:space="preserve">Conclusion </w:t>
      </w:r>
    </w:p>
    <w:p w:rsidR="00000000" w:rsidDel="00000000" w:rsidP="00000000" w:rsidRDefault="00000000" w:rsidRPr="00000000" w14:paraId="00000095">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61">
        <w:r w:rsidDel="00000000" w:rsidR="00000000" w:rsidRPr="00000000">
          <w:rPr>
            <w:color w:val="1155cc"/>
            <w:u w:val="single"/>
            <w:rtl w:val="0"/>
          </w:rPr>
          <w:t xml:space="preserve">talk to us</w:t>
        </w:r>
      </w:hyperlink>
      <w:r w:rsidDel="00000000" w:rsidR="00000000" w:rsidRPr="00000000">
        <w:rPr>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1.01683" TargetMode="External"/><Relationship Id="rId42" Type="http://schemas.openxmlformats.org/officeDocument/2006/relationships/hyperlink" Target="https://arxiv.org/pdf/2104.13369.pdf"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hyperlink" Target="https://ai.googleblog.com/2022/01/introducing-stylex-new-approach-for.html" TargetMode="External"/><Relationship Id="rId43" Type="http://schemas.openxmlformats.org/officeDocument/2006/relationships/image" Target="media/image12.gif"/><Relationship Id="rId46" Type="http://schemas.openxmlformats.org/officeDocument/2006/relationships/hyperlink" Target="https://towardsdatascience.com/understanding-variational-autoencoders-vaes-f70510919f73" TargetMode="External"/><Relationship Id="rId45" Type="http://schemas.openxmlformats.org/officeDocument/2006/relationships/hyperlink" Target="https://arxiv.org/abs/2202.0119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image" Target="media/image9.png"/><Relationship Id="rId47" Type="http://schemas.openxmlformats.org/officeDocument/2006/relationships/hyperlink" Target="https://ibug.doc.ic.ac.uk/resources/300-W/" TargetMode="External"/><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wandb.ai/site" TargetMode="External"/><Relationship Id="rId30" Type="http://schemas.openxmlformats.org/officeDocument/2006/relationships/hyperlink" Target="https://youtu.be/Ucp0TTmvqOE?t=7714" TargetMode="External"/><Relationship Id="rId33" Type="http://schemas.openxmlformats.org/officeDocument/2006/relationships/hyperlink" Target="https://samsung.github.io/qaboard/" TargetMode="External"/><Relationship Id="rId32" Type="http://schemas.openxmlformats.org/officeDocument/2006/relationships/hyperlink" Target="https://www.tensorflow.org/tensorboard/get_started" TargetMode="External"/><Relationship Id="rId35" Type="http://schemas.openxmlformats.org/officeDocument/2006/relationships/image" Target="media/image6.png"/><Relationship Id="rId34" Type="http://schemas.openxmlformats.org/officeDocument/2006/relationships/hyperlink" Target="https://sebderhy.github.io/impactfulai/2021/11/01/Fall-in-love-with-the-problem,-not-the-solution.html" TargetMode="External"/><Relationship Id="rId37" Type="http://schemas.openxmlformats.org/officeDocument/2006/relationships/hyperlink" Target="https://en.wikipedia.org/wiki/Kernel_density_estimation" TargetMode="External"/><Relationship Id="rId36" Type="http://schemas.openxmlformats.org/officeDocument/2006/relationships/hyperlink" Target="https://sebderhy.github.io/impactfulai/2021/12/06/Risk-Management.html" TargetMode="External"/><Relationship Id="rId39" Type="http://schemas.openxmlformats.org/officeDocument/2006/relationships/hyperlink" Target="https://google.github.io/mediapipe/" TargetMode="External"/><Relationship Id="rId38" Type="http://schemas.openxmlformats.org/officeDocument/2006/relationships/hyperlink" Target="https://en.wikipedia.org/wiki/Cluster_analysis" TargetMode="External"/><Relationship Id="rId61" Type="http://schemas.openxmlformats.org/officeDocument/2006/relationships/hyperlink" Target="https://datagen.tech/careers/?coref=1.10.uB5_311&amp;t=1645804882946"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 TargetMode="External"/><Relationship Id="rId23" Type="http://schemas.openxmlformats.org/officeDocument/2006/relationships/hyperlink" Target="https://dataloop.ai/" TargetMode="External"/><Relationship Id="rId60" Type="http://schemas.openxmlformats.org/officeDocument/2006/relationships/hyperlink" Target="https://arxiv.org/abs/2111.12548" TargetMode="External"/><Relationship Id="rId26" Type="http://schemas.openxmlformats.org/officeDocument/2006/relationships/hyperlink" Target="https://microsoft.github.io/FaceSynthetics/" TargetMode="External"/><Relationship Id="rId25" Type="http://schemas.openxmlformats.org/officeDocument/2006/relationships/hyperlink" Target="https://datagen.tech/ai/facial-landmark-detection-using-synthetic-data/" TargetMode="External"/><Relationship Id="rId28" Type="http://schemas.openxmlformats.org/officeDocument/2006/relationships/hyperlink" Target="https://gradientdescent.co/t/the-tesla-ai-team-s-data-engine/48" TargetMode="External"/><Relationship Id="rId27" Type="http://schemas.openxmlformats.org/officeDocument/2006/relationships/image" Target="media/image10.png"/><Relationship Id="rId29" Type="http://schemas.openxmlformats.org/officeDocument/2006/relationships/image" Target="media/image11.png"/><Relationship Id="rId51" Type="http://schemas.openxmlformats.org/officeDocument/2006/relationships/image" Target="media/image1.png"/><Relationship Id="rId50" Type="http://schemas.openxmlformats.org/officeDocument/2006/relationships/image" Target="media/image2.png"/><Relationship Id="rId53" Type="http://schemas.openxmlformats.org/officeDocument/2006/relationships/hyperlink" Target="https://datagen.tech/ai/facial-landmark-detection-using-synthetic-data/" TargetMode="External"/><Relationship Id="rId52" Type="http://schemas.openxmlformats.org/officeDocument/2006/relationships/hyperlink" Target="https://datagen.tech/" TargetMode="External"/><Relationship Id="rId11" Type="http://schemas.openxmlformats.org/officeDocument/2006/relationships/image" Target="media/image8.png"/><Relationship Id="rId55" Type="http://schemas.openxmlformats.org/officeDocument/2006/relationships/hyperlink" Target="https://towardsdatascience.com/tagged/catastrophic-forgetting" TargetMode="External"/><Relationship Id="rId10" Type="http://schemas.openxmlformats.org/officeDocument/2006/relationships/hyperlink" Target="https://www.image-net.org/" TargetMode="External"/><Relationship Id="rId54" Type="http://schemas.openxmlformats.org/officeDocument/2006/relationships/hyperlink" Target="https://microsoft.github.io/FaceSynthetics/" TargetMode="External"/><Relationship Id="rId13" Type="http://schemas.openxmlformats.org/officeDocument/2006/relationships/hyperlink" Target="https://datacentricai.org/blog/autodc-automated-data-centric-processing/" TargetMode="External"/><Relationship Id="rId57" Type="http://schemas.openxmlformats.org/officeDocument/2006/relationships/hyperlink" Target="https://arxiv.org/abs/2111.12548" TargetMode="External"/><Relationship Id="rId12" Type="http://schemas.openxmlformats.org/officeDocument/2006/relationships/hyperlink" Target="https://www.youtube.com/watch?v=06-AZXmwHjo&amp;ab_channel=DeepLearningAI" TargetMode="External"/><Relationship Id="rId56" Type="http://schemas.openxmlformats.org/officeDocument/2006/relationships/hyperlink" Target="https://www.automl.org/" TargetMode="External"/><Relationship Id="rId15" Type="http://schemas.openxmlformats.org/officeDocument/2006/relationships/image" Target="media/image7.png"/><Relationship Id="rId59" Type="http://schemas.openxmlformats.org/officeDocument/2006/relationships/image" Target="media/image4.png"/><Relationship Id="rId14" Type="http://schemas.openxmlformats.org/officeDocument/2006/relationships/image" Target="media/image5.png"/><Relationship Id="rId58" Type="http://schemas.openxmlformats.org/officeDocument/2006/relationships/hyperlink" Target="https://datacentricai.org/neurips21/" TargetMode="External"/><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